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социального мониторинга</w:t>
            </w:r>
          </w:p>
          <w:p>
            <w:pPr>
              <w:jc w:val="center"/>
              <w:spacing w:after="0" w:line="240" w:lineRule="auto"/>
              <w:rPr>
                <w:sz w:val="32"/>
                <w:szCs w:val="32"/>
              </w:rPr>
            </w:pPr>
            <w:r>
              <w:rPr>
                <w:rFonts w:ascii="Times New Roman" w:hAnsi="Times New Roman" w:cs="Times New Roman"/>
                <w:color w:val="#000000"/>
                <w:sz w:val="32"/>
                <w:szCs w:val="32"/>
              </w:rPr>
              <w:t> К.М.02.14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социального мониторинга»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К.М.02.14 «Технология социального мониторинга».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социального мониторинга»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99.9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К.М.02.14 «Технология социального мониторинга»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статистика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социальной сферы как</w:t>
            </w:r>
          </w:p>
          <w:p>
            <w:pPr>
              <w:jc w:val="left"/>
              <w:spacing w:after="0" w:line="240" w:lineRule="auto"/>
              <w:rPr>
                <w:sz w:val="24"/>
                <w:szCs w:val="24"/>
              </w:rPr>
            </w:pPr>
            <w:r>
              <w:rPr>
                <w:rFonts w:ascii="Times New Roman" w:hAnsi="Times New Roman" w:cs="Times New Roman"/>
                <w:color w:val="#000000"/>
                <w:sz w:val="24"/>
                <w:szCs w:val="24"/>
              </w:rPr>
              <w:t> исследовательский метод и практическая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мониторинговые исследования в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социальных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системы социологического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социологического исследования как методическая основа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социальных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направления социологических исследований и использование их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мониторинговые исследования в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социальных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социологического исследования как методическая основа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социальных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направления социологических исследований и использование их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социальной сферы как</w:t>
            </w:r>
          </w:p>
          <w:p>
            <w:pPr>
              <w:jc w:val="left"/>
              <w:spacing w:after="0" w:line="240" w:lineRule="auto"/>
              <w:rPr>
                <w:sz w:val="24"/>
                <w:szCs w:val="24"/>
              </w:rPr>
            </w:pPr>
            <w:r>
              <w:rPr>
                <w:rFonts w:ascii="Times New Roman" w:hAnsi="Times New Roman" w:cs="Times New Roman"/>
                <w:color w:val="#000000"/>
                <w:sz w:val="24"/>
                <w:szCs w:val="24"/>
              </w:rPr>
              <w:t> исследовательский метод и практическая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системы социологического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9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социальной сферы как</w:t>
            </w:r>
          </w:p>
          <w:p>
            <w:pPr>
              <w:jc w:val="center"/>
              <w:spacing w:after="0" w:line="240" w:lineRule="auto"/>
              <w:rPr>
                <w:sz w:val="24"/>
                <w:szCs w:val="24"/>
              </w:rPr>
            </w:pPr>
            <w:r>
              <w:rPr>
                <w:rFonts w:ascii="Times New Roman" w:hAnsi="Times New Roman" w:cs="Times New Roman"/>
                <w:b/>
                <w:color w:val="#000000"/>
                <w:sz w:val="24"/>
                <w:szCs w:val="24"/>
              </w:rPr>
              <w:t> исследовательский метод и практическая дисциплина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мониторинговые исследования в социальной сфере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социальных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построения системы социологического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социологического исследования как методическая основа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социальных характеристик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социальной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направления социологических исследований и использование их результатов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мониторинговые исследования в социальной сфере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социальных систем</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социологического исследования как методическая основа социального мониторинга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социальных характеристик</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социальной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направления социологических исследований и использование их результатов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социальной сферы как</w:t>
            </w:r>
          </w:p>
          <w:p>
            <w:pPr>
              <w:jc w:val="center"/>
              <w:spacing w:after="0" w:line="240" w:lineRule="auto"/>
              <w:rPr>
                <w:sz w:val="24"/>
                <w:szCs w:val="24"/>
              </w:rPr>
            </w:pPr>
            <w:r>
              <w:rPr>
                <w:rFonts w:ascii="Times New Roman" w:hAnsi="Times New Roman" w:cs="Times New Roman"/>
                <w:b/>
                <w:color w:val="#000000"/>
                <w:sz w:val="24"/>
                <w:szCs w:val="24"/>
              </w:rPr>
              <w:t> исследовательский метод и практическая дисциплина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построения системы социологического мониторинга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социального мониторинга»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https://urait.ru/bcode/421537</w:t>
            </w:r>
            <w:r>
              <w:rPr/>
              <w:t xml:space="preserve"> </w:t>
            </w:r>
          </w:p>
        </w:tc>
      </w:tr>
      <w:tr>
        <w:trPr>
          <w:trHeight w:hRule="exact" w:val="277.8286"/>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p>
        </w:tc>
      </w:tr>
      <w:tr>
        <w:trPr>
          <w:trHeight w:hRule="exact" w:val="283.708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https://urait.ru/bcode/413254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52.0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2023-2024_ФГОС3++2023_Бак-ЗФО-СР(23)_plx_Технология социального мониторинга</dc:title>
  <dc:creator>FastReport.NET</dc:creator>
</cp:coreProperties>
</file>